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  <w:r>
        <w:rPr>
          <w:rFonts w:ascii="Tahoma" w:eastAsia="Times New Roman" w:hAnsi="Tahoma" w:cs="Tahoma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-402590</wp:posOffset>
            </wp:positionV>
            <wp:extent cx="5019675" cy="4810125"/>
            <wp:effectExtent l="171450" t="152400" r="161925" b="104775"/>
            <wp:wrapTight wrapText="bothSides">
              <wp:wrapPolygon edited="0">
                <wp:start x="-738" y="-684"/>
                <wp:lineTo x="-738" y="22070"/>
                <wp:lineTo x="22133" y="22070"/>
                <wp:lineTo x="22297" y="21301"/>
                <wp:lineTo x="22297" y="684"/>
                <wp:lineTo x="22215" y="-428"/>
                <wp:lineTo x="22133" y="-684"/>
                <wp:lineTo x="-738" y="-684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10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A15F21" w:rsidRPr="00A15F21" w:rsidRDefault="00A15F21" w:rsidP="00A15F21">
      <w:pPr>
        <w:ind w:left="0" w:firstLine="0"/>
        <w:jc w:val="center"/>
        <w:rPr>
          <w:rFonts w:ascii="Tahoma" w:eastAsia="Times New Roman" w:hAnsi="Tahoma" w:cs="Tahoma"/>
          <w:b/>
          <w:bCs/>
          <w:sz w:val="56"/>
          <w:szCs w:val="56"/>
          <w:lang w:eastAsia="cs-CZ"/>
        </w:rPr>
      </w:pPr>
      <w:r w:rsidRPr="00A15F21"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>Zveme vás na sborový den</w:t>
      </w:r>
    </w:p>
    <w:p w:rsidR="00A15F21" w:rsidRPr="00A15F21" w:rsidRDefault="00A15F21" w:rsidP="00A15F21">
      <w:pPr>
        <w:ind w:left="0" w:firstLine="0"/>
        <w:jc w:val="center"/>
        <w:rPr>
          <w:rFonts w:ascii="Tahoma" w:eastAsia="Times New Roman" w:hAnsi="Tahoma" w:cs="Tahoma"/>
          <w:b/>
          <w:bCs/>
          <w:sz w:val="56"/>
          <w:szCs w:val="56"/>
          <w:lang w:eastAsia="cs-CZ"/>
        </w:rPr>
      </w:pPr>
      <w:r w:rsidRPr="00A15F21"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 xml:space="preserve">k 600. výročí obnovení </w:t>
      </w:r>
    </w:p>
    <w:p w:rsidR="00A15F21" w:rsidRPr="00A15F21" w:rsidRDefault="00A15F21" w:rsidP="00A15F21">
      <w:pPr>
        <w:ind w:left="0" w:firstLine="0"/>
        <w:jc w:val="center"/>
        <w:rPr>
          <w:rFonts w:ascii="Tahoma" w:eastAsia="Times New Roman" w:hAnsi="Tahoma" w:cs="Tahoma"/>
          <w:b/>
          <w:bCs/>
          <w:sz w:val="72"/>
          <w:szCs w:val="72"/>
          <w:lang w:eastAsia="cs-CZ"/>
        </w:rPr>
      </w:pPr>
      <w:r w:rsidRPr="00A15F21">
        <w:rPr>
          <w:rFonts w:ascii="Tahoma" w:eastAsia="Times New Roman" w:hAnsi="Tahoma" w:cs="Tahoma"/>
          <w:b/>
          <w:bCs/>
          <w:sz w:val="72"/>
          <w:szCs w:val="72"/>
          <w:lang w:eastAsia="cs-CZ"/>
        </w:rPr>
        <w:t>vysluhování pod obojí</w:t>
      </w:r>
    </w:p>
    <w:p w:rsidR="00A15F21" w:rsidRPr="00A15F21" w:rsidRDefault="00A15F21" w:rsidP="00A15F21">
      <w:pPr>
        <w:ind w:left="0" w:firstLine="0"/>
        <w:jc w:val="center"/>
        <w:rPr>
          <w:rFonts w:ascii="Tahoma" w:eastAsia="Times New Roman" w:hAnsi="Tahoma" w:cs="Tahoma"/>
          <w:b/>
          <w:bCs/>
          <w:sz w:val="56"/>
          <w:szCs w:val="56"/>
          <w:lang w:eastAsia="cs-CZ"/>
        </w:rPr>
      </w:pPr>
      <w:r w:rsidRPr="00A15F21"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 xml:space="preserve">v neděli </w:t>
      </w:r>
      <w:proofErr w:type="gramStart"/>
      <w:r w:rsidRPr="00A15F21"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>2.11.2014</w:t>
      </w:r>
      <w:proofErr w:type="gramEnd"/>
    </w:p>
    <w:p w:rsidR="00A15F21" w:rsidRPr="00813B18" w:rsidRDefault="00A15F21" w:rsidP="00A15F21">
      <w:pPr>
        <w:ind w:left="0" w:firstLine="0"/>
        <w:jc w:val="center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cs-CZ"/>
        </w:rPr>
        <w:t>evangelický kostel v Novém Městě na Moravě</w:t>
      </w:r>
    </w:p>
    <w:p w:rsidR="00A15F21" w:rsidRDefault="00A15F21" w:rsidP="00A15F21">
      <w:pPr>
        <w:ind w:left="0" w:firstLine="0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Program: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7.50 – Bystřice: bohoslužby s vysluhováním Večeře Páně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(Jakub Keller)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9.00 – Nové Město: bohoslužby s vysluhováním Večeře Páně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(Jakub Keller)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10.30 – Nové Město: „O večeři Páně“ – uvedení do rozhovoru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(Jakub Keller)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16.00 – Nové Město: „Ohlasy kalicha“ – přednáška</w:t>
      </w:r>
    </w:p>
    <w:p w:rsidR="00A15F21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(Petr </w:t>
      </w:r>
      <w:proofErr w:type="spellStart"/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Moree</w:t>
      </w:r>
      <w:proofErr w:type="spellEnd"/>
      <w:r w:rsidRPr="00813B1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)</w:t>
      </w:r>
    </w:p>
    <w:p w:rsidR="00A15F21" w:rsidRPr="00813B18" w:rsidRDefault="00A15F21" w:rsidP="00A15F21">
      <w:pPr>
        <w:ind w:left="0" w:firstLine="0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:rsidR="00A15F21" w:rsidRDefault="00A15F21" w:rsidP="00A15F21">
      <w:pPr>
        <w:ind w:left="0" w:firstLine="0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/ Jakub Keller je farář z Horní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Čermné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; </w:t>
      </w:r>
      <w:proofErr w:type="spellStart"/>
      <w:proofErr w:type="gramStart"/>
      <w:r>
        <w:rPr>
          <w:rFonts w:ascii="Tahoma" w:eastAsia="Times New Roman" w:hAnsi="Tahoma" w:cs="Tahoma"/>
          <w:sz w:val="24"/>
          <w:szCs w:val="24"/>
          <w:lang w:eastAsia="cs-CZ"/>
        </w:rPr>
        <w:t>Dr.Petr</w:t>
      </w:r>
      <w:proofErr w:type="spellEnd"/>
      <w:proofErr w:type="gram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Moree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je odborný asistent na katedře církevních dějin evangelické teologické fakulty UK/</w:t>
      </w:r>
    </w:p>
    <w:p w:rsidR="00AC03D9" w:rsidRDefault="00AC03D9" w:rsidP="00A15F21">
      <w:pPr>
        <w:ind w:left="0" w:firstLine="0"/>
      </w:pPr>
    </w:p>
    <w:sectPr w:rsidR="00AC03D9" w:rsidSect="00A15F21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F21"/>
    <w:rsid w:val="00A15F21"/>
    <w:rsid w:val="00AC03D9"/>
    <w:rsid w:val="00DC5040"/>
    <w:rsid w:val="00F9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3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486</Characters>
  <Application>Microsoft Office Word</Application>
  <DocSecurity>0</DocSecurity>
  <Lines>4</Lines>
  <Paragraphs>1</Paragraphs>
  <ScaleCrop>false</ScaleCrop>
  <Company>PC-PC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2014-10-16T09:53:00Z</cp:lastPrinted>
  <dcterms:created xsi:type="dcterms:W3CDTF">2014-10-16T09:46:00Z</dcterms:created>
  <dcterms:modified xsi:type="dcterms:W3CDTF">2014-10-16T09:55:00Z</dcterms:modified>
</cp:coreProperties>
</file>